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AE42E7" w:rsidRDefault="0080234A" w:rsidP="00AE42E7">
      <w:pPr>
        <w:bidi/>
        <w:jc w:val="both"/>
        <w:rPr>
          <w:rFonts w:ascii="Noor_Badr" w:hAnsi="Noor_Badr" w:cs="Noor_Badr"/>
          <w:sz w:val="32"/>
          <w:szCs w:val="32"/>
          <w:rtl/>
          <w:lang w:bidi="fa-IR"/>
        </w:rPr>
      </w:pPr>
      <w:bookmarkStart w:id="0" w:name="_GoBack"/>
      <w:r w:rsidRPr="00AE42E7">
        <w:rPr>
          <w:rFonts w:ascii="Noor_Badr" w:hAnsi="Noor_Badr" w:cs="Noor_Badr"/>
          <w:sz w:val="32"/>
          <w:szCs w:val="32"/>
          <w:rtl/>
          <w:lang w:bidi="fa-IR"/>
        </w:rPr>
        <w:t>خارج اصول</w:t>
      </w:r>
    </w:p>
    <w:p w:rsidR="0080234A" w:rsidRPr="00AE42E7" w:rsidRDefault="0080234A" w:rsidP="00AE42E7">
      <w:pPr>
        <w:pBdr>
          <w:bottom w:val="single" w:sz="12" w:space="1" w:color="auto"/>
        </w:pBdr>
        <w:bidi/>
        <w:jc w:val="both"/>
        <w:rPr>
          <w:rFonts w:ascii="Noor_Badr" w:hAnsi="Noor_Badr" w:cs="Noor_Badr"/>
          <w:sz w:val="32"/>
          <w:szCs w:val="32"/>
          <w:rtl/>
          <w:lang w:bidi="fa-IR"/>
        </w:rPr>
      </w:pPr>
      <w:r w:rsidRPr="00AE42E7">
        <w:rPr>
          <w:rFonts w:ascii="Noor_Badr" w:hAnsi="Noor_Badr" w:cs="Noor_Badr"/>
          <w:sz w:val="32"/>
          <w:szCs w:val="32"/>
          <w:rtl/>
          <w:lang w:bidi="fa-IR"/>
        </w:rPr>
        <w:t>جلسه 66                                               سه شنبه 25/ 10/ 97</w:t>
      </w:r>
    </w:p>
    <w:p w:rsidR="0080234A" w:rsidRPr="00AE42E7" w:rsidRDefault="00634324" w:rsidP="00AE42E7">
      <w:pPr>
        <w:bidi/>
        <w:jc w:val="both"/>
        <w:rPr>
          <w:rFonts w:ascii="Noor_Badr" w:hAnsi="Noor_Badr" w:cs="Noor_Badr"/>
          <w:b/>
          <w:bCs/>
          <w:color w:val="FF0000"/>
          <w:sz w:val="32"/>
          <w:szCs w:val="32"/>
          <w:rtl/>
          <w:lang w:bidi="fa-IR"/>
        </w:rPr>
      </w:pPr>
      <w:r w:rsidRPr="00AE42E7">
        <w:rPr>
          <w:rFonts w:ascii="Noor_Badr" w:hAnsi="Noor_Badr" w:cs="Noor_Badr"/>
          <w:b/>
          <w:bCs/>
          <w:color w:val="FF0000"/>
          <w:sz w:val="32"/>
          <w:szCs w:val="32"/>
          <w:rtl/>
          <w:lang w:bidi="fa-IR"/>
        </w:rPr>
        <w:t>حدیث</w:t>
      </w:r>
    </w:p>
    <w:p w:rsidR="0080234A" w:rsidRPr="00AE42E7" w:rsidRDefault="0080234A"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و لا عقلَ كالتدبير.</w:t>
      </w:r>
      <w:r w:rsidR="00634324" w:rsidRPr="00AE42E7">
        <w:rPr>
          <w:rStyle w:val="FootnoteReference"/>
          <w:rFonts w:ascii="Noor_Badr" w:hAnsi="Noor_Badr" w:cs="Noor_Badr"/>
          <w:sz w:val="32"/>
          <w:szCs w:val="32"/>
          <w:rtl/>
          <w:lang w:bidi="fa-IR"/>
        </w:rPr>
        <w:footnoteReference w:id="1"/>
      </w:r>
    </w:p>
    <w:p w:rsidR="0080234A" w:rsidRPr="00AE42E7" w:rsidRDefault="00811431"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این</w:t>
      </w:r>
      <w:r w:rsidR="0080234A" w:rsidRPr="00AE42E7">
        <w:rPr>
          <w:rFonts w:ascii="Noor_Badr" w:hAnsi="Noor_Badr" w:cs="Noor_Badr"/>
          <w:sz w:val="32"/>
          <w:szCs w:val="32"/>
          <w:rtl/>
          <w:lang w:bidi="fa-IR"/>
        </w:rPr>
        <w:t>،تعریف</w:t>
      </w:r>
      <w:r w:rsidRPr="00AE42E7">
        <w:rPr>
          <w:rFonts w:ascii="Noor_Badr" w:hAnsi="Noor_Badr" w:cs="Noor_Badr"/>
          <w:sz w:val="32"/>
          <w:szCs w:val="32"/>
          <w:rtl/>
          <w:lang w:bidi="fa-IR"/>
        </w:rPr>
        <w:t xml:space="preserve"> عقل است به فعل او</w:t>
      </w:r>
      <w:r w:rsidR="0080234A" w:rsidRPr="00AE42E7">
        <w:rPr>
          <w:rFonts w:ascii="Noor_Badr" w:hAnsi="Noor_Badr" w:cs="Noor_Badr"/>
          <w:sz w:val="32"/>
          <w:szCs w:val="32"/>
          <w:rtl/>
          <w:lang w:bidi="fa-IR"/>
        </w:rPr>
        <w:t>.عقل در مقام عمل،عقلِ مدبّرانه است.</w:t>
      </w:r>
    </w:p>
    <w:p w:rsidR="0080234A" w:rsidRPr="00AE42E7" w:rsidRDefault="0080234A"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w:t>
      </w:r>
    </w:p>
    <w:p w:rsidR="0080234A" w:rsidRPr="00AE42E7" w:rsidRDefault="00E55A5E"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شهید صدر در حجیت اماره هفت قول ذکر کرده که چهار مورد بیان شد.</w:t>
      </w:r>
    </w:p>
    <w:p w:rsidR="00E55A5E" w:rsidRPr="00AE42E7" w:rsidRDefault="00E55A5E" w:rsidP="00AE42E7">
      <w:pPr>
        <w:pStyle w:val="Heading1"/>
        <w:bidi/>
        <w:jc w:val="both"/>
        <w:rPr>
          <w:rFonts w:ascii="Noor_Badr" w:hAnsi="Noor_Badr" w:cs="Noor_Badr"/>
          <w:sz w:val="32"/>
          <w:szCs w:val="32"/>
          <w:rtl/>
          <w:lang w:bidi="fa-IR"/>
        </w:rPr>
      </w:pPr>
      <w:r w:rsidRPr="00AE42E7">
        <w:rPr>
          <w:rFonts w:ascii="Noor_Badr" w:hAnsi="Noor_Badr" w:cs="Noor_Badr"/>
          <w:sz w:val="32"/>
          <w:szCs w:val="32"/>
          <w:rtl/>
          <w:lang w:bidi="fa-IR"/>
        </w:rPr>
        <w:t>ادامه ی اقوال</w:t>
      </w:r>
    </w:p>
    <w:p w:rsidR="00E55A5E" w:rsidRPr="00AE42E7" w:rsidRDefault="00E55A5E"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5.مصلحت جعلیة</w:t>
      </w:r>
      <w:r w:rsidR="00E72948" w:rsidRPr="00AE42E7">
        <w:rPr>
          <w:rStyle w:val="FootnoteReference"/>
          <w:rFonts w:ascii="Noor_Badr" w:hAnsi="Noor_Badr" w:cs="Noor_Badr"/>
          <w:sz w:val="32"/>
          <w:szCs w:val="32"/>
          <w:rtl/>
          <w:lang w:bidi="fa-IR"/>
        </w:rPr>
        <w:footnoteReference w:id="2"/>
      </w:r>
      <w:r w:rsidRPr="00AE42E7">
        <w:rPr>
          <w:rFonts w:ascii="Noor_Badr" w:hAnsi="Noor_Badr" w:cs="Noor_Badr"/>
          <w:sz w:val="32"/>
          <w:szCs w:val="32"/>
          <w:rtl/>
          <w:lang w:bidi="fa-IR"/>
        </w:rPr>
        <w:t xml:space="preserve"> منسوب به شیخ الشریعه</w:t>
      </w:r>
      <w:r w:rsidR="00492F0E" w:rsidRPr="00AE42E7">
        <w:rPr>
          <w:rStyle w:val="FootnoteReference"/>
          <w:rFonts w:ascii="Noor_Badr" w:hAnsi="Noor_Badr" w:cs="Noor_Badr"/>
          <w:sz w:val="32"/>
          <w:szCs w:val="32"/>
          <w:rtl/>
          <w:lang w:bidi="fa-IR"/>
        </w:rPr>
        <w:footnoteReference w:id="3"/>
      </w:r>
      <w:r w:rsidRPr="00AE42E7">
        <w:rPr>
          <w:rFonts w:ascii="Noor_Badr" w:hAnsi="Noor_Badr" w:cs="Noor_Badr"/>
          <w:sz w:val="32"/>
          <w:szCs w:val="32"/>
          <w:rtl/>
          <w:lang w:bidi="fa-IR"/>
        </w:rPr>
        <w:t>: یعنی مصلحت در جعل حکم ظاهری</w:t>
      </w:r>
      <w:r w:rsidR="00CB0799" w:rsidRPr="00AE42E7">
        <w:rPr>
          <w:rFonts w:ascii="Noor_Badr" w:hAnsi="Noor_Badr" w:cs="Noor_Badr"/>
          <w:sz w:val="32"/>
          <w:szCs w:val="32"/>
          <w:rtl/>
          <w:lang w:bidi="fa-IR"/>
        </w:rPr>
        <w:t xml:space="preserve"> است</w:t>
      </w:r>
      <w:r w:rsidRPr="00AE42E7">
        <w:rPr>
          <w:rFonts w:ascii="Noor_Badr" w:hAnsi="Noor_Badr" w:cs="Noor_Badr"/>
          <w:sz w:val="32"/>
          <w:szCs w:val="32"/>
          <w:rtl/>
          <w:lang w:bidi="fa-IR"/>
        </w:rPr>
        <w:t xml:space="preserve"> نه در متعلق حکم؛این قول نیز برای دفع شبهه ی ابن قبه است و مستلزم تصویب و إجزا نیست.</w:t>
      </w:r>
    </w:p>
    <w:p w:rsidR="00E55A5E" w:rsidRPr="00AE42E7" w:rsidRDefault="00E55A5E"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 xml:space="preserve">فرق قول چهارم با پنجم این است که در </w:t>
      </w:r>
      <w:r w:rsidR="00E36BBD" w:rsidRPr="00AE42E7">
        <w:rPr>
          <w:rFonts w:ascii="Noor_Badr" w:hAnsi="Noor_Badr" w:cs="Noor_Badr"/>
          <w:sz w:val="32"/>
          <w:szCs w:val="32"/>
          <w:rtl/>
          <w:lang w:bidi="fa-IR"/>
        </w:rPr>
        <w:t>آنجا مصلحت در سلوک</w:t>
      </w:r>
      <w:r w:rsidR="00C430E5" w:rsidRPr="00AE42E7">
        <w:rPr>
          <w:rFonts w:ascii="Noor_Badr" w:hAnsi="Noor_Badr" w:cs="Noor_Badr"/>
          <w:sz w:val="32"/>
          <w:szCs w:val="32"/>
          <w:rtl/>
          <w:lang w:bidi="fa-IR"/>
        </w:rPr>
        <w:t xml:space="preserve"> مکلف</w:t>
      </w:r>
      <w:r w:rsidR="00E36BBD" w:rsidRPr="00AE42E7">
        <w:rPr>
          <w:rFonts w:ascii="Noor_Badr" w:hAnsi="Noor_Badr" w:cs="Noor_Badr"/>
          <w:sz w:val="32"/>
          <w:szCs w:val="32"/>
          <w:rtl/>
          <w:lang w:bidi="fa-IR"/>
        </w:rPr>
        <w:t xml:space="preserve"> </w:t>
      </w:r>
      <w:r w:rsidR="002B631D" w:rsidRPr="00AE42E7">
        <w:rPr>
          <w:rFonts w:ascii="Noor_Badr" w:hAnsi="Noor_Badr" w:cs="Noor_Badr"/>
          <w:sz w:val="32"/>
          <w:szCs w:val="32"/>
          <w:rtl/>
          <w:lang w:bidi="fa-IR"/>
        </w:rPr>
        <w:t>بود</w:t>
      </w:r>
      <w:r w:rsidR="00E36BBD" w:rsidRPr="00AE42E7">
        <w:rPr>
          <w:rFonts w:ascii="Noor_Badr" w:hAnsi="Noor_Badr" w:cs="Noor_Badr"/>
          <w:sz w:val="32"/>
          <w:szCs w:val="32"/>
          <w:rtl/>
          <w:lang w:bidi="fa-IR"/>
        </w:rPr>
        <w:t xml:space="preserve"> ولی اینجا مصلحت در جعل </w:t>
      </w:r>
      <w:r w:rsidR="00C430E5" w:rsidRPr="00AE42E7">
        <w:rPr>
          <w:rFonts w:ascii="Noor_Badr" w:hAnsi="Noor_Badr" w:cs="Noor_Badr"/>
          <w:sz w:val="32"/>
          <w:szCs w:val="32"/>
          <w:rtl/>
          <w:lang w:bidi="fa-IR"/>
        </w:rPr>
        <w:t>شارع</w:t>
      </w:r>
      <w:r w:rsidR="00E36BBD" w:rsidRPr="00AE42E7">
        <w:rPr>
          <w:rFonts w:ascii="Noor_Badr" w:hAnsi="Noor_Badr" w:cs="Noor_Badr"/>
          <w:sz w:val="32"/>
          <w:szCs w:val="32"/>
          <w:rtl/>
          <w:lang w:bidi="fa-IR"/>
        </w:rPr>
        <w:t xml:space="preserve"> است.</w:t>
      </w:r>
    </w:p>
    <w:p w:rsidR="0046380E" w:rsidRPr="00AE42E7" w:rsidRDefault="0046380E"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6.مصلحت سلوکیه ی</w:t>
      </w:r>
      <w:r w:rsidR="004E59F9" w:rsidRPr="00AE42E7">
        <w:rPr>
          <w:rFonts w:ascii="Noor_Badr" w:hAnsi="Noor_Badr" w:cs="Noor_Badr"/>
          <w:sz w:val="32"/>
          <w:szCs w:val="32"/>
          <w:rtl/>
          <w:lang w:bidi="fa-IR"/>
        </w:rPr>
        <w:t xml:space="preserve"> ثانویه</w:t>
      </w:r>
      <w:r w:rsidR="00EC5381" w:rsidRPr="00AE42E7">
        <w:rPr>
          <w:rStyle w:val="FootnoteReference"/>
          <w:rFonts w:ascii="Noor_Badr" w:hAnsi="Noor_Badr" w:cs="Noor_Badr"/>
          <w:sz w:val="32"/>
          <w:szCs w:val="32"/>
          <w:rtl/>
          <w:lang w:bidi="fa-IR"/>
        </w:rPr>
        <w:footnoteReference w:id="4"/>
      </w:r>
      <w:r w:rsidR="00EC5381" w:rsidRPr="00AE42E7">
        <w:rPr>
          <w:rFonts w:ascii="Noor_Badr" w:hAnsi="Noor_Badr" w:cs="Noor_Badr"/>
          <w:sz w:val="32"/>
          <w:szCs w:val="32"/>
          <w:rtl/>
          <w:lang w:bidi="fa-IR"/>
        </w:rPr>
        <w:t>.</w:t>
      </w:r>
      <w:r w:rsidRPr="00AE42E7">
        <w:rPr>
          <w:rFonts w:ascii="Noor_Badr" w:hAnsi="Noor_Badr" w:cs="Noor_Badr"/>
          <w:sz w:val="32"/>
          <w:szCs w:val="32"/>
          <w:rtl/>
          <w:lang w:bidi="fa-IR"/>
        </w:rPr>
        <w:t>محقق نائینی: یعنی مصلحت در عمل مکلف بعنوان ثانوی لحاظ می شود بطوریکه سلوک اماره به جهت عمل مکلف در زمان شک، دارای مصلحت است.</w:t>
      </w:r>
    </w:p>
    <w:p w:rsidR="0046380E" w:rsidRPr="00AE42E7" w:rsidRDefault="00243939"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lastRenderedPageBreak/>
        <w:t xml:space="preserve">فرق قول پنجم </w:t>
      </w:r>
      <w:r w:rsidR="00083EA7" w:rsidRPr="00AE42E7">
        <w:rPr>
          <w:rFonts w:ascii="Noor_Badr" w:hAnsi="Noor_Badr" w:cs="Noor_Badr"/>
          <w:sz w:val="32"/>
          <w:szCs w:val="32"/>
          <w:rtl/>
          <w:lang w:bidi="fa-IR"/>
        </w:rPr>
        <w:t>با</w:t>
      </w:r>
      <w:r w:rsidRPr="00AE42E7">
        <w:rPr>
          <w:rFonts w:ascii="Noor_Badr" w:hAnsi="Noor_Badr" w:cs="Noor_Badr"/>
          <w:sz w:val="32"/>
          <w:szCs w:val="32"/>
          <w:rtl/>
          <w:lang w:bidi="fa-IR"/>
        </w:rPr>
        <w:t xml:space="preserve"> ششم این است که در آنجا مصلحت در جعل شارع </w:t>
      </w:r>
      <w:r w:rsidR="002B631D" w:rsidRPr="00AE42E7">
        <w:rPr>
          <w:rFonts w:ascii="Noor_Badr" w:hAnsi="Noor_Badr" w:cs="Noor_Badr"/>
          <w:sz w:val="32"/>
          <w:szCs w:val="32"/>
          <w:rtl/>
          <w:lang w:bidi="fa-IR"/>
        </w:rPr>
        <w:t>بود</w:t>
      </w:r>
      <w:r w:rsidRPr="00AE42E7">
        <w:rPr>
          <w:rFonts w:ascii="Noor_Badr" w:hAnsi="Noor_Badr" w:cs="Noor_Badr"/>
          <w:sz w:val="32"/>
          <w:szCs w:val="32"/>
          <w:rtl/>
          <w:lang w:bidi="fa-IR"/>
        </w:rPr>
        <w:t xml:space="preserve"> ولی در اینجا مصلحت در اتیان مکلف است.</w:t>
      </w:r>
    </w:p>
    <w:p w:rsidR="00F0796C" w:rsidRPr="00AE42E7" w:rsidRDefault="00083EA7"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 xml:space="preserve">و </w:t>
      </w:r>
      <w:r w:rsidR="00243939" w:rsidRPr="00AE42E7">
        <w:rPr>
          <w:rFonts w:ascii="Noor_Badr" w:hAnsi="Noor_Badr" w:cs="Noor_Badr"/>
          <w:sz w:val="32"/>
          <w:szCs w:val="32"/>
          <w:rtl/>
          <w:lang w:bidi="fa-IR"/>
        </w:rPr>
        <w:t xml:space="preserve">فرق چهارم </w:t>
      </w:r>
      <w:r w:rsidRPr="00AE42E7">
        <w:rPr>
          <w:rFonts w:ascii="Noor_Badr" w:hAnsi="Noor_Badr" w:cs="Noor_Badr"/>
          <w:sz w:val="32"/>
          <w:szCs w:val="32"/>
          <w:rtl/>
          <w:lang w:bidi="fa-IR"/>
        </w:rPr>
        <w:t>با</w:t>
      </w:r>
      <w:r w:rsidR="00243939" w:rsidRPr="00AE42E7">
        <w:rPr>
          <w:rFonts w:ascii="Noor_Badr" w:hAnsi="Noor_Badr" w:cs="Noor_Badr"/>
          <w:sz w:val="32"/>
          <w:szCs w:val="32"/>
          <w:rtl/>
          <w:lang w:bidi="fa-IR"/>
        </w:rPr>
        <w:t xml:space="preserve"> ششم این است که در آنجا سلوک عبارت </w:t>
      </w:r>
      <w:r w:rsidR="002B631D" w:rsidRPr="00AE42E7">
        <w:rPr>
          <w:rFonts w:ascii="Noor_Badr" w:hAnsi="Noor_Badr" w:cs="Noor_Badr"/>
          <w:sz w:val="32"/>
          <w:szCs w:val="32"/>
          <w:rtl/>
          <w:lang w:bidi="fa-IR"/>
        </w:rPr>
        <w:t>بود از ترتیب آثار واقع بر مأ</w:t>
      </w:r>
      <w:r w:rsidR="00243939" w:rsidRPr="00AE42E7">
        <w:rPr>
          <w:rFonts w:ascii="Noor_Badr" w:hAnsi="Noor_Badr" w:cs="Noor_Badr"/>
          <w:sz w:val="32"/>
          <w:szCs w:val="32"/>
          <w:rtl/>
          <w:lang w:bidi="fa-IR"/>
        </w:rPr>
        <w:t xml:space="preserve">تی به </w:t>
      </w:r>
      <w:r w:rsidR="00732054" w:rsidRPr="00AE42E7">
        <w:rPr>
          <w:rFonts w:ascii="Noor_Badr" w:hAnsi="Noor_Badr" w:cs="Noor_Badr"/>
          <w:sz w:val="32"/>
          <w:szCs w:val="32"/>
          <w:rtl/>
          <w:lang w:bidi="fa-IR"/>
        </w:rPr>
        <w:t xml:space="preserve">یعنی </w:t>
      </w:r>
      <w:r w:rsidR="00FA2826" w:rsidRPr="00AE42E7">
        <w:rPr>
          <w:rFonts w:ascii="Noor_Badr" w:hAnsi="Noor_Badr" w:cs="Noor_Badr"/>
          <w:sz w:val="32"/>
          <w:szCs w:val="32"/>
          <w:rtl/>
          <w:lang w:bidi="fa-IR"/>
        </w:rPr>
        <w:t>"</w:t>
      </w:r>
      <w:r w:rsidR="00732054" w:rsidRPr="00AE42E7">
        <w:rPr>
          <w:rFonts w:ascii="Noor_Badr" w:hAnsi="Noor_Badr" w:cs="Noor_Badr"/>
          <w:sz w:val="32"/>
          <w:szCs w:val="32"/>
          <w:rtl/>
          <w:lang w:bidi="fa-IR"/>
        </w:rPr>
        <w:t>سلوک و کسب مصلحت واقعی</w:t>
      </w:r>
      <w:r w:rsidR="00FA2826" w:rsidRPr="00AE42E7">
        <w:rPr>
          <w:rFonts w:ascii="Noor_Badr" w:hAnsi="Noor_Badr" w:cs="Noor_Badr"/>
          <w:sz w:val="32"/>
          <w:szCs w:val="32"/>
          <w:rtl/>
          <w:lang w:bidi="fa-IR"/>
        </w:rPr>
        <w:t>"</w:t>
      </w:r>
      <w:r w:rsidR="00732054" w:rsidRPr="00AE42E7">
        <w:rPr>
          <w:rFonts w:ascii="Noor_Badr" w:hAnsi="Noor_Badr" w:cs="Noor_Badr"/>
          <w:sz w:val="32"/>
          <w:szCs w:val="32"/>
          <w:rtl/>
          <w:lang w:bidi="fa-IR"/>
        </w:rPr>
        <w:t xml:space="preserve"> ولی در اینجا مصلحت </w:t>
      </w:r>
      <w:r w:rsidR="00D73BF8" w:rsidRPr="00AE42E7">
        <w:rPr>
          <w:rFonts w:ascii="Noor_Badr" w:hAnsi="Noor_Badr" w:cs="Noor_Badr"/>
          <w:sz w:val="32"/>
          <w:szCs w:val="32"/>
          <w:rtl/>
          <w:lang w:bidi="fa-IR"/>
        </w:rPr>
        <w:t>در فعل مکلف است</w:t>
      </w:r>
      <w:r w:rsidR="001B371B" w:rsidRPr="00AE42E7">
        <w:rPr>
          <w:rFonts w:ascii="Noor_Badr" w:hAnsi="Noor_Badr" w:cs="Noor_Badr"/>
          <w:sz w:val="32"/>
          <w:szCs w:val="32"/>
          <w:rtl/>
          <w:lang w:bidi="fa-IR"/>
        </w:rPr>
        <w:t xml:space="preserve"> ثانیاوبالعرض یعنی در زمان شک</w:t>
      </w:r>
      <w:r w:rsidR="00D73BF8" w:rsidRPr="00AE42E7">
        <w:rPr>
          <w:rFonts w:ascii="Noor_Badr" w:hAnsi="Noor_Badr" w:cs="Noor_Badr"/>
          <w:sz w:val="32"/>
          <w:szCs w:val="32"/>
          <w:rtl/>
          <w:lang w:bidi="fa-IR"/>
        </w:rPr>
        <w:t>؛ ول</w:t>
      </w:r>
      <w:r w:rsidR="00F0796C" w:rsidRPr="00AE42E7">
        <w:rPr>
          <w:rFonts w:ascii="Noor_Badr" w:hAnsi="Noor_Badr" w:cs="Noor_Badr"/>
          <w:sz w:val="32"/>
          <w:szCs w:val="32"/>
          <w:rtl/>
          <w:lang w:bidi="fa-IR"/>
        </w:rPr>
        <w:t>ی هیچکدام مستلزم تصویب و إجزا</w:t>
      </w:r>
      <w:r w:rsidR="00016457" w:rsidRPr="00AE42E7">
        <w:rPr>
          <w:rFonts w:ascii="Noor_Badr" w:hAnsi="Noor_Badr" w:cs="Noor_Badr"/>
          <w:sz w:val="32"/>
          <w:szCs w:val="32"/>
          <w:rtl/>
          <w:lang w:bidi="fa-IR"/>
        </w:rPr>
        <w:t>ء</w:t>
      </w:r>
      <w:r w:rsidR="00F0796C" w:rsidRPr="00AE42E7">
        <w:rPr>
          <w:rFonts w:ascii="Noor_Badr" w:hAnsi="Noor_Badr" w:cs="Noor_Badr"/>
          <w:sz w:val="32"/>
          <w:szCs w:val="32"/>
          <w:rtl/>
          <w:lang w:bidi="fa-IR"/>
        </w:rPr>
        <w:t xml:space="preserve"> نیست.</w:t>
      </w:r>
    </w:p>
    <w:p w:rsidR="0055770E" w:rsidRPr="00AE42E7" w:rsidRDefault="004E59F9"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7.</w:t>
      </w:r>
      <w:r w:rsidR="00AE0209" w:rsidRPr="00AE42E7">
        <w:rPr>
          <w:rFonts w:ascii="Noor_Badr" w:hAnsi="Noor_Badr" w:cs="Noor_Badr"/>
          <w:sz w:val="32"/>
          <w:szCs w:val="32"/>
          <w:rtl/>
          <w:lang w:bidi="fa-IR"/>
        </w:rPr>
        <w:t>سببیت عرضیه</w:t>
      </w:r>
      <w:r w:rsidR="00AE0209" w:rsidRPr="00AE42E7">
        <w:rPr>
          <w:rStyle w:val="FootnoteReference"/>
          <w:rFonts w:ascii="Noor_Badr" w:hAnsi="Noor_Badr" w:cs="Noor_Badr"/>
          <w:sz w:val="32"/>
          <w:szCs w:val="32"/>
          <w:rtl/>
          <w:lang w:bidi="fa-IR"/>
        </w:rPr>
        <w:footnoteReference w:id="5"/>
      </w:r>
      <w:r w:rsidR="0055770E" w:rsidRPr="00AE42E7">
        <w:rPr>
          <w:rFonts w:ascii="Noor_Badr" w:hAnsi="Noor_Badr" w:cs="Noor_Badr"/>
          <w:sz w:val="32"/>
          <w:szCs w:val="32"/>
          <w:rtl/>
          <w:lang w:bidi="fa-IR"/>
        </w:rPr>
        <w:t>.</w:t>
      </w:r>
      <w:r w:rsidRPr="00AE42E7">
        <w:rPr>
          <w:rFonts w:ascii="Noor_Badr" w:hAnsi="Noor_Badr" w:cs="Noor_Badr"/>
          <w:sz w:val="32"/>
          <w:szCs w:val="32"/>
          <w:rtl/>
          <w:lang w:bidi="fa-IR"/>
        </w:rPr>
        <w:t>محقق اصفهانی(کمپانی):</w:t>
      </w:r>
      <w:r w:rsidR="0055770E" w:rsidRPr="00AE42E7">
        <w:rPr>
          <w:rFonts w:ascii="Noor_Badr" w:hAnsi="Noor_Badr" w:cs="Noor_Badr"/>
          <w:sz w:val="32"/>
          <w:szCs w:val="32"/>
          <w:rtl/>
          <w:lang w:bidi="fa-IR"/>
        </w:rPr>
        <w:t xml:space="preserve"> این قول برای دفع تصویب و توجیه إجزاست که نتیجه اش قول به إجزاء بدون تصویب است</w:t>
      </w:r>
      <w:r w:rsidR="00C004D8" w:rsidRPr="00AE42E7">
        <w:rPr>
          <w:rFonts w:ascii="Noor_Badr" w:hAnsi="Noor_Badr" w:cs="Noor_Badr"/>
          <w:sz w:val="32"/>
          <w:szCs w:val="32"/>
          <w:rtl/>
          <w:lang w:bidi="fa-IR"/>
        </w:rPr>
        <w:t>.</w:t>
      </w:r>
    </w:p>
    <w:p w:rsidR="00C93331" w:rsidRPr="00AE42E7" w:rsidRDefault="00711A3D" w:rsidP="00AE42E7">
      <w:pPr>
        <w:bidi/>
        <w:jc w:val="both"/>
        <w:rPr>
          <w:rFonts w:ascii="Noor_Badr" w:hAnsi="Noor_Badr" w:cs="Noor_Badr"/>
          <w:sz w:val="32"/>
          <w:szCs w:val="32"/>
          <w:lang w:bidi="fa-IR"/>
        </w:rPr>
      </w:pPr>
      <w:r w:rsidRPr="00AE42E7">
        <w:rPr>
          <w:rFonts w:ascii="Noor_Badr" w:hAnsi="Noor_Badr" w:cs="Noor_Badr"/>
          <w:sz w:val="32"/>
          <w:szCs w:val="32"/>
          <w:rtl/>
          <w:lang w:bidi="fa-IR"/>
        </w:rPr>
        <w:t xml:space="preserve">توضح: </w:t>
      </w:r>
      <w:r w:rsidR="00190D58" w:rsidRPr="00AE42E7">
        <w:rPr>
          <w:rFonts w:ascii="Noor_Badr" w:hAnsi="Noor_Badr" w:cs="Noor_Badr"/>
          <w:sz w:val="32"/>
          <w:szCs w:val="32"/>
          <w:rtl/>
          <w:lang w:bidi="fa-IR"/>
        </w:rPr>
        <w:t>مؤدای اماره در عرض عالم واقع قرار می گیرد و دارای ملاکی است که مطلوب شارع است و</w:t>
      </w:r>
      <w:r w:rsidRPr="00AE42E7">
        <w:rPr>
          <w:rFonts w:ascii="Noor_Badr" w:hAnsi="Noor_Badr" w:cs="Noor_Badr"/>
          <w:sz w:val="32"/>
          <w:szCs w:val="32"/>
          <w:rtl/>
          <w:lang w:bidi="fa-IR"/>
        </w:rPr>
        <w:t xml:space="preserve"> این مؤدی</w:t>
      </w:r>
      <w:r w:rsidR="00190D58" w:rsidRPr="00AE42E7">
        <w:rPr>
          <w:rFonts w:ascii="Noor_Badr" w:hAnsi="Noor_Badr" w:cs="Noor_Badr"/>
          <w:sz w:val="32"/>
          <w:szCs w:val="32"/>
          <w:rtl/>
          <w:lang w:bidi="fa-IR"/>
        </w:rPr>
        <w:t xml:space="preserve"> با عنوان ثانوی مطلوب شارع است نه بعنوان اولی؛ واین مستلزم إجزاست زیرا غرض مولا حاصل می شود ولی مستلزم تصویب نیست زیرا موجب نمی شود که امر واقعی تعیینی به نماز ظهر، تبدیل شود به امر به جامع بین عال</w:t>
      </w:r>
      <w:r w:rsidR="002F411D" w:rsidRPr="00AE42E7">
        <w:rPr>
          <w:rFonts w:ascii="Noor_Badr" w:hAnsi="Noor_Badr" w:cs="Noor_Badr"/>
          <w:sz w:val="32"/>
          <w:szCs w:val="32"/>
          <w:rtl/>
          <w:lang w:bidi="fa-IR"/>
        </w:rPr>
        <w:t>م واقع و مؤدای اماره؛</w:t>
      </w:r>
      <w:r w:rsidRPr="00AE42E7">
        <w:rPr>
          <w:rFonts w:ascii="Noor_Badr" w:hAnsi="Noor_Badr" w:cs="Noor_Badr"/>
          <w:sz w:val="32"/>
          <w:szCs w:val="32"/>
          <w:rtl/>
          <w:lang w:bidi="fa-IR"/>
        </w:rPr>
        <w:t xml:space="preserve"> لإ</w:t>
      </w:r>
      <w:r w:rsidR="002F411D" w:rsidRPr="00AE42E7">
        <w:rPr>
          <w:rFonts w:ascii="Noor_Badr" w:hAnsi="Noor_Badr" w:cs="Noor_Badr"/>
          <w:sz w:val="32"/>
          <w:szCs w:val="32"/>
          <w:rtl/>
          <w:lang w:bidi="fa-IR"/>
        </w:rPr>
        <w:t>ستحالة</w:t>
      </w:r>
      <w:r w:rsidR="00AF1E96" w:rsidRPr="00AE42E7">
        <w:rPr>
          <w:rFonts w:ascii="Noor_Badr" w:hAnsi="Noor_Badr" w:cs="Noor_Badr"/>
          <w:sz w:val="32"/>
          <w:szCs w:val="32"/>
          <w:rtl/>
          <w:lang w:bidi="fa-IR"/>
        </w:rPr>
        <w:t xml:space="preserve"> ذلک إذ لیس</w:t>
      </w:r>
      <w:r w:rsidR="00A51FE3" w:rsidRPr="00AE42E7">
        <w:rPr>
          <w:rFonts w:ascii="Noor_Badr" w:hAnsi="Noor_Badr" w:cs="Noor_Badr"/>
          <w:sz w:val="32"/>
          <w:szCs w:val="32"/>
          <w:rtl/>
          <w:lang w:bidi="fa-IR"/>
        </w:rPr>
        <w:t xml:space="preserve"> ذات المؤدی، ذات مصلحة بل بماهو مؤ</w:t>
      </w:r>
      <w:r w:rsidRPr="00AE42E7">
        <w:rPr>
          <w:rFonts w:ascii="Noor_Badr" w:hAnsi="Noor_Badr" w:cs="Noor_Badr"/>
          <w:sz w:val="32"/>
          <w:szCs w:val="32"/>
          <w:rtl/>
          <w:lang w:bidi="fa-IR"/>
        </w:rPr>
        <w:t>دی الأ</w:t>
      </w:r>
      <w:r w:rsidR="00AF1E96" w:rsidRPr="00AE42E7">
        <w:rPr>
          <w:rFonts w:ascii="Noor_Badr" w:hAnsi="Noor_Badr" w:cs="Noor_Badr"/>
          <w:sz w:val="32"/>
          <w:szCs w:val="32"/>
          <w:rtl/>
          <w:lang w:bidi="fa-IR"/>
        </w:rPr>
        <w:t>ماره المخالفة للواقع فهی بهذه الحیثیة مصداق الجامع لا مطلقا</w:t>
      </w:r>
      <w:r w:rsidR="00B85335" w:rsidRPr="00AE42E7">
        <w:rPr>
          <w:rFonts w:ascii="Noor_Badr" w:hAnsi="Noor_Badr" w:cs="Noor_Badr"/>
          <w:sz w:val="32"/>
          <w:szCs w:val="32"/>
          <w:rtl/>
          <w:lang w:bidi="fa-IR"/>
        </w:rPr>
        <w:t>.</w:t>
      </w:r>
      <w:r w:rsidR="007A03F0" w:rsidRPr="00AE42E7">
        <w:rPr>
          <w:rStyle w:val="FootnoteReference"/>
          <w:rFonts w:ascii="Noor_Badr" w:hAnsi="Noor_Badr" w:cs="Noor_Badr"/>
          <w:sz w:val="32"/>
          <w:szCs w:val="32"/>
          <w:rtl/>
          <w:lang w:bidi="fa-IR"/>
        </w:rPr>
        <w:footnoteReference w:id="6"/>
      </w:r>
    </w:p>
    <w:p w:rsidR="004E59F9" w:rsidRPr="00AE42E7" w:rsidRDefault="00B623D5"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(نهایة ج1 ص247-بحوث ج2 ص166)</w:t>
      </w:r>
    </w:p>
    <w:p w:rsidR="00FC6F3A" w:rsidRPr="00AE42E7" w:rsidRDefault="00FC6F3A" w:rsidP="00AE42E7">
      <w:pPr>
        <w:bidi/>
        <w:jc w:val="both"/>
        <w:rPr>
          <w:rFonts w:ascii="Noor_Badr" w:hAnsi="Noor_Badr" w:cs="Noor_Badr"/>
          <w:sz w:val="32"/>
          <w:szCs w:val="32"/>
          <w:rtl/>
          <w:lang w:bidi="fa-IR"/>
        </w:rPr>
      </w:pPr>
      <w:r w:rsidRPr="00AE42E7">
        <w:rPr>
          <w:rFonts w:ascii="Noor_Badr" w:hAnsi="Noor_Badr" w:cs="Noor_Badr"/>
          <w:sz w:val="32"/>
          <w:szCs w:val="32"/>
          <w:rtl/>
          <w:lang w:bidi="fa-IR"/>
        </w:rPr>
        <w:t>(پایان)</w:t>
      </w:r>
      <w:bookmarkEnd w:id="0"/>
    </w:p>
    <w:sectPr w:rsidR="00FC6F3A" w:rsidRPr="00AE42E7" w:rsidSect="0080234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195" w:rsidRDefault="001C6195" w:rsidP="00E72948">
      <w:pPr>
        <w:spacing w:after="0" w:line="240" w:lineRule="auto"/>
      </w:pPr>
      <w:r>
        <w:separator/>
      </w:r>
    </w:p>
  </w:endnote>
  <w:endnote w:type="continuationSeparator" w:id="0">
    <w:p w:rsidR="001C6195" w:rsidRDefault="001C6195" w:rsidP="00E72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24" w:rsidRDefault="006343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24" w:rsidRDefault="006343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24" w:rsidRDefault="006343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195" w:rsidRDefault="001C6195" w:rsidP="00E72948">
      <w:pPr>
        <w:spacing w:after="0" w:line="240" w:lineRule="auto"/>
      </w:pPr>
      <w:r>
        <w:separator/>
      </w:r>
    </w:p>
  </w:footnote>
  <w:footnote w:type="continuationSeparator" w:id="0">
    <w:p w:rsidR="001C6195" w:rsidRDefault="001C6195" w:rsidP="00E72948">
      <w:pPr>
        <w:spacing w:after="0" w:line="240" w:lineRule="auto"/>
      </w:pPr>
      <w:r>
        <w:continuationSeparator/>
      </w:r>
    </w:p>
  </w:footnote>
  <w:footnote w:id="1">
    <w:p w:rsidR="00634324" w:rsidRPr="007B7622" w:rsidRDefault="00634324" w:rsidP="00BF67AC">
      <w:pPr>
        <w:pStyle w:val="FootnoteText"/>
        <w:bidi/>
        <w:jc w:val="both"/>
        <w:rPr>
          <w:sz w:val="24"/>
          <w:szCs w:val="24"/>
          <w:rtl/>
          <w:lang w:bidi="fa-IR"/>
        </w:rPr>
      </w:pPr>
      <w:r w:rsidRPr="002E3C2E">
        <w:rPr>
          <w:rStyle w:val="FootnoteReference"/>
          <w:sz w:val="24"/>
          <w:szCs w:val="24"/>
        </w:rPr>
        <w:footnoteRef/>
      </w:r>
      <w:r w:rsidRPr="002E3C2E">
        <w:rPr>
          <w:rFonts w:hint="cs"/>
          <w:sz w:val="24"/>
          <w:szCs w:val="24"/>
          <w:rtl/>
        </w:rPr>
        <w:t>.</w:t>
      </w:r>
      <w:r w:rsidRPr="002E3C2E">
        <w:rPr>
          <w:sz w:val="24"/>
          <w:szCs w:val="24"/>
        </w:rPr>
        <w:t xml:space="preserve"> </w:t>
      </w:r>
      <w:r w:rsidRPr="002E3C2E">
        <w:rPr>
          <w:rFonts w:hint="cs"/>
          <w:sz w:val="24"/>
          <w:szCs w:val="24"/>
          <w:rtl/>
          <w:lang w:bidi="fa-IR"/>
        </w:rPr>
        <w:t xml:space="preserve">خطبة لأمير المؤمنين ع و هي خطبة الوسيلة.الكافي (ط - الإسلامية)، ج‏8، ص: 18 </w:t>
      </w:r>
    </w:p>
  </w:footnote>
  <w:footnote w:id="2">
    <w:p w:rsidR="00E72948" w:rsidRPr="00E72948" w:rsidRDefault="00E72948" w:rsidP="00BF67AC">
      <w:pPr>
        <w:pStyle w:val="FootnoteText"/>
        <w:bidi/>
        <w:jc w:val="both"/>
        <w:rPr>
          <w:sz w:val="24"/>
          <w:szCs w:val="24"/>
          <w:rtl/>
          <w:lang w:bidi="fa-IR"/>
        </w:rPr>
      </w:pPr>
      <w:r w:rsidRPr="00E72948">
        <w:rPr>
          <w:rStyle w:val="FootnoteReference"/>
          <w:sz w:val="24"/>
          <w:szCs w:val="24"/>
        </w:rPr>
        <w:footnoteRef/>
      </w:r>
      <w:r w:rsidRPr="00E72948">
        <w:rPr>
          <w:sz w:val="24"/>
          <w:szCs w:val="24"/>
        </w:rPr>
        <w:t xml:space="preserve"> </w:t>
      </w:r>
      <w:r w:rsidR="00BF67AC">
        <w:rPr>
          <w:rFonts w:hint="cs"/>
          <w:sz w:val="24"/>
          <w:szCs w:val="24"/>
          <w:rtl/>
        </w:rPr>
        <w:t>.</w:t>
      </w:r>
      <w:r w:rsidR="00EC5381">
        <w:rPr>
          <w:rFonts w:hint="cs"/>
          <w:sz w:val="24"/>
          <w:szCs w:val="24"/>
          <w:rtl/>
          <w:lang w:bidi="fa-IR"/>
        </w:rPr>
        <w:t>عنوان</w:t>
      </w:r>
      <w:r w:rsidR="00AB5698">
        <w:rPr>
          <w:rFonts w:hint="cs"/>
          <w:sz w:val="24"/>
          <w:szCs w:val="24"/>
          <w:rtl/>
          <w:lang w:bidi="fa-IR"/>
        </w:rPr>
        <w:t>،</w:t>
      </w:r>
      <w:r w:rsidRPr="00E72948">
        <w:rPr>
          <w:rFonts w:hint="cs"/>
          <w:sz w:val="24"/>
          <w:szCs w:val="24"/>
          <w:rtl/>
          <w:lang w:bidi="fa-IR"/>
        </w:rPr>
        <w:t xml:space="preserve"> ساختگی است.</w:t>
      </w:r>
    </w:p>
  </w:footnote>
  <w:footnote w:id="3">
    <w:p w:rsidR="00492F0E" w:rsidRPr="00492F0E" w:rsidRDefault="00492F0E" w:rsidP="00BF67AC">
      <w:pPr>
        <w:pStyle w:val="FootnoteText"/>
        <w:bidi/>
        <w:jc w:val="both"/>
        <w:rPr>
          <w:sz w:val="24"/>
          <w:szCs w:val="24"/>
          <w:rtl/>
          <w:lang w:bidi="fa-IR"/>
        </w:rPr>
      </w:pPr>
      <w:r w:rsidRPr="00492F0E">
        <w:rPr>
          <w:rStyle w:val="FootnoteReference"/>
          <w:sz w:val="24"/>
          <w:szCs w:val="24"/>
        </w:rPr>
        <w:footnoteRef/>
      </w:r>
      <w:r w:rsidRPr="00492F0E">
        <w:rPr>
          <w:sz w:val="24"/>
          <w:szCs w:val="24"/>
        </w:rPr>
        <w:t xml:space="preserve"> </w:t>
      </w:r>
      <w:r w:rsidR="00BF67AC">
        <w:rPr>
          <w:rFonts w:hint="cs"/>
          <w:sz w:val="24"/>
          <w:szCs w:val="24"/>
          <w:rtl/>
        </w:rPr>
        <w:t>.</w:t>
      </w:r>
      <w:r w:rsidRPr="00492F0E">
        <w:rPr>
          <w:rFonts w:hint="cs"/>
          <w:sz w:val="24"/>
          <w:szCs w:val="24"/>
          <w:rtl/>
          <w:lang w:bidi="fa-IR"/>
        </w:rPr>
        <w:t>ملا فتحح الله غروی شیرازی اصفهانی(ت1266-ف1339)</w:t>
      </w:r>
      <w:r w:rsidR="002958F2">
        <w:rPr>
          <w:rFonts w:hint="cs"/>
          <w:sz w:val="24"/>
          <w:szCs w:val="24"/>
          <w:rtl/>
          <w:lang w:bidi="fa-IR"/>
        </w:rPr>
        <w:t xml:space="preserve"> بعد از میرزای بزرگ، مرجع بوده است.</w:t>
      </w:r>
    </w:p>
  </w:footnote>
  <w:footnote w:id="4">
    <w:p w:rsidR="00EC5381" w:rsidRPr="00EC5381" w:rsidRDefault="00EC5381" w:rsidP="00BF67AC">
      <w:pPr>
        <w:pStyle w:val="FootnoteText"/>
        <w:bidi/>
        <w:jc w:val="both"/>
        <w:rPr>
          <w:sz w:val="24"/>
          <w:szCs w:val="24"/>
          <w:rtl/>
          <w:lang w:bidi="fa-IR"/>
        </w:rPr>
      </w:pPr>
      <w:r>
        <w:rPr>
          <w:rStyle w:val="FootnoteReference"/>
        </w:rPr>
        <w:footnoteRef/>
      </w:r>
      <w:r>
        <w:t xml:space="preserve"> </w:t>
      </w:r>
      <w:r w:rsidR="00BF67AC">
        <w:rPr>
          <w:rFonts w:hint="cs"/>
          <w:rtl/>
        </w:rPr>
        <w:t>.</w:t>
      </w:r>
      <w:r>
        <w:rPr>
          <w:rFonts w:hint="cs"/>
          <w:sz w:val="24"/>
          <w:szCs w:val="24"/>
          <w:rtl/>
          <w:lang w:bidi="fa-IR"/>
        </w:rPr>
        <w:t>عنوان،</w:t>
      </w:r>
      <w:r w:rsidRPr="00E72948">
        <w:rPr>
          <w:rFonts w:hint="cs"/>
          <w:sz w:val="24"/>
          <w:szCs w:val="24"/>
          <w:rtl/>
          <w:lang w:bidi="fa-IR"/>
        </w:rPr>
        <w:t xml:space="preserve"> ساختگی است.</w:t>
      </w:r>
    </w:p>
  </w:footnote>
  <w:footnote w:id="5">
    <w:p w:rsidR="00AE0209" w:rsidRPr="00AE0209" w:rsidRDefault="00AE0209" w:rsidP="00E47D1D">
      <w:pPr>
        <w:pStyle w:val="FootnoteText"/>
        <w:bidi/>
        <w:jc w:val="both"/>
        <w:rPr>
          <w:sz w:val="24"/>
          <w:szCs w:val="24"/>
          <w:rtl/>
          <w:lang w:bidi="fa-IR"/>
        </w:rPr>
      </w:pPr>
      <w:r>
        <w:rPr>
          <w:rStyle w:val="FootnoteReference"/>
        </w:rPr>
        <w:footnoteRef/>
      </w:r>
      <w:r>
        <w:t xml:space="preserve"> </w:t>
      </w:r>
      <w:r w:rsidR="00E34F81">
        <w:rPr>
          <w:rFonts w:hint="cs"/>
          <w:rtl/>
        </w:rPr>
        <w:t>.</w:t>
      </w:r>
      <w:r>
        <w:rPr>
          <w:rFonts w:hint="cs"/>
          <w:sz w:val="24"/>
          <w:szCs w:val="24"/>
          <w:rtl/>
          <w:lang w:bidi="fa-IR"/>
        </w:rPr>
        <w:t>عنوان،</w:t>
      </w:r>
      <w:r w:rsidRPr="00E72948">
        <w:rPr>
          <w:rFonts w:hint="cs"/>
          <w:sz w:val="24"/>
          <w:szCs w:val="24"/>
          <w:rtl/>
          <w:lang w:bidi="fa-IR"/>
        </w:rPr>
        <w:t xml:space="preserve"> ساختگی است.</w:t>
      </w:r>
    </w:p>
  </w:footnote>
  <w:footnote w:id="6">
    <w:p w:rsidR="00724051" w:rsidRPr="00724051" w:rsidRDefault="007A03F0" w:rsidP="00E47D1D">
      <w:pPr>
        <w:pStyle w:val="FootnoteText"/>
        <w:bidi/>
        <w:jc w:val="both"/>
        <w:rPr>
          <w:sz w:val="24"/>
          <w:szCs w:val="24"/>
          <w:lang w:bidi="fa-IR"/>
        </w:rPr>
      </w:pPr>
      <w:r w:rsidRPr="00724051">
        <w:rPr>
          <w:rStyle w:val="FootnoteReference"/>
          <w:sz w:val="24"/>
          <w:szCs w:val="24"/>
        </w:rPr>
        <w:footnoteRef/>
      </w:r>
      <w:r w:rsidR="00E34F81">
        <w:rPr>
          <w:rFonts w:hint="cs"/>
          <w:sz w:val="24"/>
          <w:szCs w:val="24"/>
          <w:rtl/>
          <w:lang w:bidi="fa-IR"/>
        </w:rPr>
        <w:t>.</w:t>
      </w:r>
      <w:r w:rsidRPr="00724051">
        <w:rPr>
          <w:rFonts w:hint="cs"/>
          <w:sz w:val="24"/>
          <w:szCs w:val="24"/>
          <w:rtl/>
          <w:lang w:bidi="fa-IR"/>
        </w:rPr>
        <w:t>السابع- ما ذكره المحقق الأصفهاني (قده) بهدف تحصيل وجه يصور فيه الاجزاء دون الوقوع في محذور التصويب، و ذلك بافتراض مصلحة في مؤدى الأمارة المخالفة للواقع بما هو مؤدى إمارة مخالفة للواقع، و هي مصلحة في عرض مصلحة الواقع، أي ان‏</w:t>
      </w:r>
      <w:r w:rsidR="00724051" w:rsidRPr="00724051">
        <w:rPr>
          <w:rFonts w:hint="cs"/>
          <w:sz w:val="24"/>
          <w:szCs w:val="24"/>
          <w:rtl/>
          <w:lang w:bidi="fa-IR"/>
        </w:rPr>
        <w:t xml:space="preserve"> المؤدى مشتمل على الملاك المطلوب إلّا انه في هذا العنوان الثانوي لا في المؤدى بعنوانه الأولي، و هذا يوجب الاجزاء لحصول الغرض‏</w:t>
      </w:r>
      <w:r w:rsidR="00724051" w:rsidRPr="00724051">
        <w:rPr>
          <w:sz w:val="24"/>
          <w:szCs w:val="24"/>
          <w:vertAlign w:val="superscript"/>
          <w:rtl/>
          <w:lang w:bidi="fa-IR"/>
        </w:rPr>
        <w:footnoteRef/>
      </w:r>
      <w:r w:rsidR="00724051" w:rsidRPr="00724051">
        <w:rPr>
          <w:rFonts w:hint="cs"/>
          <w:sz w:val="24"/>
          <w:szCs w:val="24"/>
          <w:rtl/>
          <w:lang w:bidi="fa-IR"/>
        </w:rPr>
        <w:t>. و لا يوجب التصويب و تبدل الأمر الواقعي التعييني بالواقع إلى الأمر بالجامع بينه و بين مؤدى الأمارة المخالفة بما هو مؤدى أمارة مخالفة، لاستحالة ذلك‏</w:t>
      </w:r>
    </w:p>
    <w:p w:rsidR="007A03F0" w:rsidRPr="00724051" w:rsidRDefault="007A03F0" w:rsidP="00E47D1D">
      <w:pPr>
        <w:pStyle w:val="FootnoteText"/>
        <w:bidi/>
        <w:jc w:val="both"/>
        <w:rPr>
          <w:sz w:val="24"/>
          <w:szCs w:val="24"/>
        </w:rPr>
      </w:pPr>
    </w:p>
    <w:p w:rsidR="007A03F0" w:rsidRDefault="007A03F0" w:rsidP="00E47D1D">
      <w:pPr>
        <w:pStyle w:val="FootnoteText"/>
        <w:bidi/>
        <w:jc w:val="both"/>
        <w:rPr>
          <w:rtl/>
          <w:lang w:bidi="fa-IR"/>
        </w:rPr>
      </w:pP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24" w:rsidRDefault="006343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24" w:rsidRDefault="006343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324" w:rsidRDefault="006343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34A"/>
    <w:rsid w:val="00012920"/>
    <w:rsid w:val="00016457"/>
    <w:rsid w:val="00083EA7"/>
    <w:rsid w:val="000D070D"/>
    <w:rsid w:val="00190D58"/>
    <w:rsid w:val="001B371B"/>
    <w:rsid w:val="001C6195"/>
    <w:rsid w:val="00243939"/>
    <w:rsid w:val="002958F2"/>
    <w:rsid w:val="002B631D"/>
    <w:rsid w:val="002E3C2E"/>
    <w:rsid w:val="002F411D"/>
    <w:rsid w:val="0046380E"/>
    <w:rsid w:val="00492F0E"/>
    <w:rsid w:val="004E59F9"/>
    <w:rsid w:val="0055770E"/>
    <w:rsid w:val="005A2A2B"/>
    <w:rsid w:val="005C7205"/>
    <w:rsid w:val="00634324"/>
    <w:rsid w:val="006C04C1"/>
    <w:rsid w:val="00711A3D"/>
    <w:rsid w:val="00724051"/>
    <w:rsid w:val="00732054"/>
    <w:rsid w:val="00773FAD"/>
    <w:rsid w:val="00785C24"/>
    <w:rsid w:val="007A03F0"/>
    <w:rsid w:val="007B7622"/>
    <w:rsid w:val="0080234A"/>
    <w:rsid w:val="00804AE4"/>
    <w:rsid w:val="00811431"/>
    <w:rsid w:val="008B1684"/>
    <w:rsid w:val="009338C7"/>
    <w:rsid w:val="0096593D"/>
    <w:rsid w:val="00A51FE3"/>
    <w:rsid w:val="00AB5698"/>
    <w:rsid w:val="00AE0209"/>
    <w:rsid w:val="00AE42E7"/>
    <w:rsid w:val="00AF1E96"/>
    <w:rsid w:val="00B14A15"/>
    <w:rsid w:val="00B623D5"/>
    <w:rsid w:val="00B74CA4"/>
    <w:rsid w:val="00B85335"/>
    <w:rsid w:val="00BB0EC5"/>
    <w:rsid w:val="00BF67AC"/>
    <w:rsid w:val="00C004D8"/>
    <w:rsid w:val="00C430E5"/>
    <w:rsid w:val="00C93331"/>
    <w:rsid w:val="00C93EBF"/>
    <w:rsid w:val="00CB0799"/>
    <w:rsid w:val="00D169FA"/>
    <w:rsid w:val="00D73BF8"/>
    <w:rsid w:val="00E34F81"/>
    <w:rsid w:val="00E36BBD"/>
    <w:rsid w:val="00E47D1D"/>
    <w:rsid w:val="00E55A5E"/>
    <w:rsid w:val="00E72948"/>
    <w:rsid w:val="00EB2DE0"/>
    <w:rsid w:val="00EC5381"/>
    <w:rsid w:val="00EC7421"/>
    <w:rsid w:val="00EF2DDC"/>
    <w:rsid w:val="00F0796C"/>
    <w:rsid w:val="00FA2826"/>
    <w:rsid w:val="00FC6F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A15"/>
  </w:style>
  <w:style w:type="paragraph" w:styleId="Heading1">
    <w:name w:val="heading 1"/>
    <w:basedOn w:val="Normal"/>
    <w:next w:val="Normal"/>
    <w:link w:val="Heading1Char"/>
    <w:uiPriority w:val="9"/>
    <w:qFormat/>
    <w:rsid w:val="00E55A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5A5E"/>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E729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72948"/>
    <w:rPr>
      <w:sz w:val="20"/>
      <w:szCs w:val="20"/>
    </w:rPr>
  </w:style>
  <w:style w:type="character" w:styleId="FootnoteReference">
    <w:name w:val="footnote reference"/>
    <w:basedOn w:val="DefaultParagraphFont"/>
    <w:uiPriority w:val="99"/>
    <w:semiHidden/>
    <w:unhideWhenUsed/>
    <w:rsid w:val="00E72948"/>
    <w:rPr>
      <w:vertAlign w:val="superscript"/>
    </w:rPr>
  </w:style>
  <w:style w:type="paragraph" w:styleId="NormalWeb">
    <w:name w:val="Normal (Web)"/>
    <w:basedOn w:val="Normal"/>
    <w:uiPriority w:val="99"/>
    <w:semiHidden/>
    <w:unhideWhenUsed/>
    <w:rsid w:val="007A03F0"/>
    <w:rPr>
      <w:rFonts w:ascii="Times New Roman" w:hAnsi="Times New Roman" w:cs="Times New Roman"/>
      <w:sz w:val="24"/>
      <w:szCs w:val="24"/>
    </w:rPr>
  </w:style>
  <w:style w:type="paragraph" w:styleId="Header">
    <w:name w:val="header"/>
    <w:basedOn w:val="Normal"/>
    <w:link w:val="HeaderChar"/>
    <w:uiPriority w:val="99"/>
    <w:unhideWhenUsed/>
    <w:rsid w:val="006343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4324"/>
  </w:style>
  <w:style w:type="paragraph" w:styleId="Footer">
    <w:name w:val="footer"/>
    <w:basedOn w:val="Normal"/>
    <w:link w:val="FooterChar"/>
    <w:uiPriority w:val="99"/>
    <w:unhideWhenUsed/>
    <w:rsid w:val="006343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43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A15"/>
  </w:style>
  <w:style w:type="paragraph" w:styleId="Heading1">
    <w:name w:val="heading 1"/>
    <w:basedOn w:val="Normal"/>
    <w:next w:val="Normal"/>
    <w:link w:val="Heading1Char"/>
    <w:uiPriority w:val="9"/>
    <w:qFormat/>
    <w:rsid w:val="00E55A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5A5E"/>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E729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72948"/>
    <w:rPr>
      <w:sz w:val="20"/>
      <w:szCs w:val="20"/>
    </w:rPr>
  </w:style>
  <w:style w:type="character" w:styleId="FootnoteReference">
    <w:name w:val="footnote reference"/>
    <w:basedOn w:val="DefaultParagraphFont"/>
    <w:uiPriority w:val="99"/>
    <w:semiHidden/>
    <w:unhideWhenUsed/>
    <w:rsid w:val="00E72948"/>
    <w:rPr>
      <w:vertAlign w:val="superscript"/>
    </w:rPr>
  </w:style>
  <w:style w:type="paragraph" w:styleId="NormalWeb">
    <w:name w:val="Normal (Web)"/>
    <w:basedOn w:val="Normal"/>
    <w:uiPriority w:val="99"/>
    <w:semiHidden/>
    <w:unhideWhenUsed/>
    <w:rsid w:val="007A03F0"/>
    <w:rPr>
      <w:rFonts w:ascii="Times New Roman" w:hAnsi="Times New Roman" w:cs="Times New Roman"/>
      <w:sz w:val="24"/>
      <w:szCs w:val="24"/>
    </w:rPr>
  </w:style>
  <w:style w:type="paragraph" w:styleId="Header">
    <w:name w:val="header"/>
    <w:basedOn w:val="Normal"/>
    <w:link w:val="HeaderChar"/>
    <w:uiPriority w:val="99"/>
    <w:unhideWhenUsed/>
    <w:rsid w:val="006343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4324"/>
  </w:style>
  <w:style w:type="paragraph" w:styleId="Footer">
    <w:name w:val="footer"/>
    <w:basedOn w:val="Normal"/>
    <w:link w:val="FooterChar"/>
    <w:uiPriority w:val="99"/>
    <w:unhideWhenUsed/>
    <w:rsid w:val="006343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4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10753">
      <w:bodyDiv w:val="1"/>
      <w:marLeft w:val="0"/>
      <w:marRight w:val="0"/>
      <w:marTop w:val="0"/>
      <w:marBottom w:val="0"/>
      <w:divBdr>
        <w:top w:val="none" w:sz="0" w:space="0" w:color="auto"/>
        <w:left w:val="none" w:sz="0" w:space="0" w:color="auto"/>
        <w:bottom w:val="none" w:sz="0" w:space="0" w:color="auto"/>
        <w:right w:val="none" w:sz="0" w:space="0" w:color="auto"/>
      </w:divBdr>
    </w:div>
    <w:div w:id="877816218">
      <w:bodyDiv w:val="1"/>
      <w:marLeft w:val="0"/>
      <w:marRight w:val="0"/>
      <w:marTop w:val="0"/>
      <w:marBottom w:val="0"/>
      <w:divBdr>
        <w:top w:val="none" w:sz="0" w:space="0" w:color="auto"/>
        <w:left w:val="none" w:sz="0" w:space="0" w:color="auto"/>
        <w:bottom w:val="none" w:sz="0" w:space="0" w:color="auto"/>
        <w:right w:val="none" w:sz="0" w:space="0" w:color="auto"/>
      </w:divBdr>
    </w:div>
    <w:div w:id="1149248922">
      <w:bodyDiv w:val="1"/>
      <w:marLeft w:val="0"/>
      <w:marRight w:val="0"/>
      <w:marTop w:val="0"/>
      <w:marBottom w:val="0"/>
      <w:divBdr>
        <w:top w:val="none" w:sz="0" w:space="0" w:color="auto"/>
        <w:left w:val="none" w:sz="0" w:space="0" w:color="auto"/>
        <w:bottom w:val="none" w:sz="0" w:space="0" w:color="auto"/>
        <w:right w:val="none" w:sz="0" w:space="0" w:color="auto"/>
      </w:divBdr>
    </w:div>
    <w:div w:id="1350835125">
      <w:bodyDiv w:val="1"/>
      <w:marLeft w:val="0"/>
      <w:marRight w:val="0"/>
      <w:marTop w:val="0"/>
      <w:marBottom w:val="0"/>
      <w:divBdr>
        <w:top w:val="none" w:sz="0" w:space="0" w:color="auto"/>
        <w:left w:val="none" w:sz="0" w:space="0" w:color="auto"/>
        <w:bottom w:val="none" w:sz="0" w:space="0" w:color="auto"/>
        <w:right w:val="none" w:sz="0" w:space="0" w:color="auto"/>
      </w:divBdr>
    </w:div>
    <w:div w:id="176299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51</cp:revision>
  <dcterms:created xsi:type="dcterms:W3CDTF">2019-02-09T14:39:00Z</dcterms:created>
  <dcterms:modified xsi:type="dcterms:W3CDTF">2020-08-24T02:22:00Z</dcterms:modified>
</cp:coreProperties>
</file>